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50</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20 de enero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Hassan Belaid presentó escrito en este Tribunal el dia veintiséis de octubre, solicitando la reforma inmediata del Código Penal y la Ley de Enjuiciamiento Criminal, la aceleración urgente de su proceso juridico y, si procede, la libertad provisional.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correspondiente, en su reunión del dia dieciocho de noviembre del pasado año, acordó hacer saber al solicitante que, según lo dispuesto en el art. 49.1, en relación con el 81.1 de la L.O.T.C., el amparo debe pedirse mediante demanda, con la dirección de Abogado y bajo la representación de Procurador. En su virtud, se otorgó al solicitante un plazo de diez días para que designara Abogado y Procurador que lo defienda y represente, pudiendo, asimismo, interesar de este Tribunal que se haga el nombramiento del turno de oficio. Igualmente acordó hacer saber al solicitante que, una vez nombrados Abogado y Procurador, y aceptado el nombramiento por éstos, se otorgará un plazo de diez días para que formalicen la demanda, tal como dispone el art.49 de la L.O.T.C. A estos efectos, si pidiere el nombramiento de oficio, podrá remitir al Tribunal Constitucional una relación circunstanciada de los hechos en que funde el amparo y los documentos con que cuente para justificarlos.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Notificada la providencia el día veinticinco de noviembre último, ha transcurrido el plazo de diez días sin que el solicitante comparezca por medio de Abogado y Procurador, sin que tampoco haya solicitado el nombramiento del turno de oficio.</w:t>
      </w:r>
    </w:p>
    <w:p w:rsidRPr="00C21FFE" w:rsidR="00AD51A7" w:rsidRDefault="008777C4">
      <w:pPr>
        <w:rPr/>
      </w:pPr>
      <w:r w:rsidRPr="&lt;w:rPr xmlns:w=&quot;http://schemas.openxmlformats.org/wordprocessingml/2006/main&quot;&gt;&lt;w:lang w:val=&quot;es-ES_tradnl&quot; /&gt;&lt;/w:rPr&gt;">
        <w:rPr/>
        <w:t xml:space="preserve">Considerando el siguiente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El solicitante ha dejado transcurrir el plazo de diez días sin acogerse a la posibilidad de subsanación prevista en el art. 85.2. de la L.O.T.C., pues ni ha comparecido por medio de Procurador y con la asistencia de Letrado, ni ha pedido a este Tribunal que se designen profesionales del turno de oficio. El transcurso del indicado plazo sin que se subsanara la omisión determina la inadmisión del recurso, tal como dispone el art. 50.1.b), en relación con el 49.1 y 80.1, todos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la inadmisibilidad del recurso de que se ha hecho mérito.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enero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