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Rodríguez Domínguez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cuatro de diciembre, ha transcurrido el plazo de diez días sin que el solicitan 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