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Pachá Piqueras presentó escrito en este Tribunal el veintiséis de octubre pasado, solicitando la reforma inmediata del Código Penal y Ley de Enjuiciamiento Criminal, la aceleración urgente de su proceso juridico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quince de diciembre, ha transcurrido el plazo de diez días sin que el solicitan 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