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Ángel Fernandez Lebrón presentó escrito en este Tribunal el 26 de octubre de 1981 solicitando la reforma inmediata del Código Penal y Ley de Enjuiciamiento Criminal, la aceleración urgente de su proceso juridico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Ley Orgá nica del Tribunal Constitucional (L.O.T.C.)el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estos-se otorgará un plazo de diez días para que formalicen la demanda, tal como dispone el art. 49 de la L.O.T.C. A estos efectos, si pidiere el nombramiento de oficio, podrá remitir al Tribunal Constitucional una relación circunstaciada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cuatro de diciembre, ha transcurrido el plazo de diez días sin que el solicitante comparezca por medio de Abogado y Procurador, sin que tampoco haya solicitado el nombramiento de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