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Jerónimo Caro Martín presentó escrito en este Tribunal el 26 de octubre de 1.981 solicitando la reforma inmedianta del Código Penal y Ley de Enjuiciamiento Criminal, la aceleración urgente de su proceso jurídico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dieciocho de noviembre acordó hacer saber al solicitante que según lo dispuesto en el art. 49.1, en relación con el 81.1 de la Ley Orgánica del Tribunal Constitucional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10 de diciembre,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 ta en el artículo 85.2 de la L.O.T.C. pues ni ha comparecido por medio de Procurador y con la asistencia de Letrado, ni ha pedido a este Tribunal que se designen profesionales del turno de ofició. El transcurso del indicado plazo sin que se subsanara la omisión determina la inadmisión del recurso tal como dispone el art. 50.1.b) en relación con el 49.1 y 80.1,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