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1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amón Andrés Sánchez Águila presentó escrito en este Tribunal el 26 de octubre de 1981 solicitando la reforma inmediata del Código Penal y Ley de Enjuiciamiento Criminal, la aceleración urgente de su proceso jurí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nueve de diciembre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designara Abogado y Procurador que lo defienda y represente, pudiendo, asimismo, interesar de este Tribunal que se haga el nombramiento del turno de oficio. Igualmente acordó hacer saber al solicitante, que una vez nombrados Abogado y Procurador, y aceptado el nombramiento por estos se otorgará un plazo de diez días para que formalicen la demanda, tal como dispone el art. 49 de la L.O.T.C.. A estos efectos, si pidiere el nombramiento de oficio, podrá remitir al Tribunal Constitucional una relación circunstanciada de los hechos en</w:t>
      </w:r>
    </w:p>
    <w:p w:rsidRPr="00C21FFE" w:rsidR="00AD51A7" w:rsidRDefault="008777C4">
      <w:pPr>
        <w:rPr/>
      </w:pPr>
      <w:r w:rsidRPr="&lt;w:rPr xmlns:w=&quot;http://schemas.openxmlformats.org/wordprocessingml/2006/main&quot;&gt;&lt;w:lang w:val=&quot;es-ES_tradnl&quot; /&gt;&lt;/w:rPr&gt;">
        <w:rPr/>
        <w:t xml:space="preserve">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15 de diciembre,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