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77</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3 de febrero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Mario Andrés García Diez presentó escrito en este Tribunal el 21 de octubre del pasado año solicitando la reforma inmediata del Código Penal y Ley de Enjuiciamiento Criminal, la aceleración urgente de su proceso jurídico y juicio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dos de diciembre acordó hacer saber al solicitante que según lo dispuesto en el art. 49.1, en relación con el 81.1 de la L.O.T.C., el amparo debe pedirse mediante demanda, con la dirección de Abogado y bajo la representación de Procurador. En su virtud, se otorgó al solicitante un plazo de diez días para que designara Abogado y Procurador que le defienda y represente, pudiendo, asimismo, interesar de este Tribunal que se haga el nombramiento del turno de oficio. Igualmente acordó hacer saber al solicitante, que una vez nombrados Abogado y Procurador, y aceptado el nombramiento por éstos,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catorce de diciembre, ha transcurrido el plazo de diez días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 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febrero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