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78</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3 de febrero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Eduardo Colado Romero presentó escrito en este Tribunal el 26 de octubre de mil novecientos ochenta y uno, solicitando la reforma inmediata del Código Penal y Ley de Enjuiciamiento Criminal, la aceleración urgente de su proceso jurídico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dieciseis de diciembre pasado, acordó hacer saber al solicitante que según lo dispuesto en el art. 49.1 en relación con el 81.1 de la Ley Orgánica del Tribunal Constitucional (L.O.T.C.) el amparo debe pedirse mediante demanda, con la dirección de Abogado y bajo la representación de Procurador. En su virtud se otorgó al solicitante un plazo de diez días para que designara Abogado y Procurador que lo defienda y represente, pudiendo, asimismo, interesar de este Tribunal que se haga el nombramiento de turno de oficio. Igualmente acordó hacer saber al solicitante que una vez nombrados Abogado y Procurador, y aceptado el nombramiento por estos se otorgará un plazo de diez días para que formalicen la demanda, tal como dispone el art. 49. de la L.O.T.C. A estos efectos, si pidiere el nombramiento de oficio, podrá remitir al Tribunal Constitucional una relación circunstanciada de los hechos en que funde el amparo y los documentos con que cuente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día dieciocho de enero, ha transcurrido el plazo de diez días sin que el solicitante comparezca por medio de Abogado y Procurador, sin que tampoco haya solicitado el nombramiento del turno de oficio. 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prevista en el art. 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 el art. 50.1.b) en relación con el 49.1 y 80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febrero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