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Ángel Cano González presentó escrito en este Tribunal el 30 de octubre pasado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25 de noviembre pasado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14 de diciembre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