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10 de febrero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Silva Pena, se dirigió a este Tribunal Constitucional en escrito que se recibió el veintiséis de octubre del pasado año, poniendo de manifiesto que lleva en prisión preventiva seis meses, por razón de causa penal y solicitando la reforma del Código Penal y de la Ley de Enjuiciamiento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dieciocho de noviembre pasado que el recurrente compareciera por medio de Procurador y bajo la dirección de Abogado, tal como dispone el articulo 81.1) de la Ley Orgánica del Tribunal Constitucional (L.O.T.C.), y al notificársele esta providencia, se ha hecho constar por el Juzgado de Instrucción nº nueve de Madrid que fue puesto en libertad provisional el diecisiete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recurrente,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articulo 22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