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D.Alejandro Rodríguez Pérez presentó escrito en este Tribunal el día veintiséis de octubre del pasado año, solicitando la reforma inmediata del Código Penal y la Ley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correspndiente, en su reunión del día dieciocho de noviembre último, acordó hacer saber al solicitante que, según lo dispuesto en el art.49.1,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uno de febrero del presente año, ha transcurrido el plazo de diez dias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inadmisición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