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98</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24 de febrero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Francisco López García presento escrito en este Tribunal el día veintiuno de Octubre del pasado año, solicitan do la reforma inmediata del Código Penal y la Ley de Enjuiciamiento Criminal, la aceleración urgente de su proceso jurídico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día dieciocho de Noviembre último, acordó hacer saber al solicitante que, según lo dispuesto en el art. 49.1, en relación con el 81.1 de la Ley Orgánica del Tribunal Constitucional (L.O.T.C.), el amparo debe pedirse mediante demanda, con la dirección de Abogado y bajo la representación de Procurador. En su virtud, se otorgó al solicitante un plazo de diez días para que designara Abogado y Procurador que lo defienda y represente, pudiendo, asimismo, interesar de este Tribunal que se haga el nombramiento del turno de oficio. Igualmente acordó hacer saber al solicitante que, una vez nombrados Abogado y Procurador y, aceptado el nombramiento por éstos, se otorgará un plazo de diez días para que formalicen la demanda, tal como dispone el Art. 49 de la L.O.T.C. A estos efectos, si pidiere el nombramiento de oficio, podrá remitir al Tribunal Constitucional una relación circunstanciada de los hechos en que funde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día veintiocho de Noviembre del pasado año, ha transcurrido el plazo de diez dias sin que el solicitante comparezca por medio de Abogado y Procurador, sin que tampoco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disponen el art. 50.1.b), en relación con el 49.1 y 80.1,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febrero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