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103</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3 de marzo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Gobierno Civil de Valladolid, por resoluciones de 1 de julio y de 25 de septiembre de 1980, impuso a don Luis Alonso Cid Alonso, don Saturnino Alonso Yustos, don Antonio Torres García-Alfonso, don José María Vázquez de Prada Juárez, don Jesús Cid Alonso, don Rafael Campora Rodríguez, don Pedro de la Herrán Matorras y don Javier Hernández de la Rosa, miembros de la Junta Provincial de Fuerza Nueva de Valladolid, una sanción de 500.000 pesetas por estimar que en la manifestación organizada en dicha ciudad por el mencionado partido se habían producido las siguientes infracciones: presencia en la manifestación de grupos uniformados, insultos y gritos incitadores a la violencia y quema de la bandera de una Comunidad Autónoma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dichos actos sancionadores se interpuso recurso contenciosoadministrativo, que se tramitó ante la correspondiente Sala de la Audiencia Territorial con el núm. 353/80, al que se acumularon los núms. 403, 473 y 379 de 1980, dictándose por dicha Sala Sentencia desestimatoria con fecha 23 de enero de 1981. En dicha resolución judicial se consideran ciertos los hechos motivadores de la sanción, que se califican como contrarios al art. 1. de la Orden de 8 de junio de 1978 y al art. 2, apartados f) e i) de la Ley de Orden Público de 30 de julio de 1959, y, atendiendo a que los Gobernadores civiles, según se establece en el art. 2. del Real Decreto 110/1977, de 8 de febrero, tienen competencia para imponer sanciones en cuantía que no exceda de 500.000 pesetas, se declaran ajustados al ordenamiento jurídico los acuerdos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dicha Sentencia los recurrentes formulan recurso de apelación ante la Sala Cuarta del Tribunal Supremo, que dicta Auto de fecha 2 de octubre, notificado, según se afirma, el 8 del mismo mes, por el que se inadmite a trámite el recurso en razón de la cuantía.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2 de noviembre de 1981, don Luis Alfonso Cid Alonso, don Saturnino Alonso Yustos, don Antonio Torres García Alfonso, don José M.ª Vázquez de Prada Juárez, don Jesús Cid Alonso, don Rafael Campora Rodríguez, don Pedro de la Herrán Matorras y don Javier Hernández de la Rosa, representados por el Procurador de los Tribunales don Francisco Guinea Gauna, interponen recurso de amparo ante este Tribunal Constitucional contra las resoluciones del Gobernador Civil de Valladolid, la Sala de lo Contencioso-Administrativo de la Audiencia Territorial de Valladolid y la Sala Cuarta de lo Contencioso-Administrativo del Tribunal Supremo, solicitando se declaren nulas dichas resoluciones y sin efecto la sanción de 500.000 pesetas impuesta. Alegan los recurrentes que dichas resoluciones vulneran los derechos constitucionales de reunión y manifestación (art. 21 de la Constitución), de libertad de expresión (art. 20.1 de la Constitución), de la necesaria tipicidad de las faltas o infracciones administrativas para que resulten sancionables (art. 25.1 de la Constitución) y de defensa y tutela efectiva de los Jueces y Tribunales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Primera de este Tribunal dicta providencia, con fecha 2 de diciembre, poniendo de relieve la posible existencia de la causa de inadmisión establecida en el art. 50.2 b) de la Ley Orgánica del Tribunal Constitucional (LOTC): carecer la demanda manifiestamente de contenido que justifique una decisión por parte de dicho órgano, por considerar que, de forma manifiesta, las resoluciones impugnadas no violan los derechos fundamentales alegados. Al mismo tiempo, y de conformidad con lo establecido en el art. 50.1 de dicha Ley, acuerda conceder al Ministerio Fiscal y a los recurrentes un plazo común de diez días para que aleguen lo que a su derecho convenga.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presenta su escrito de alegaciones con fecha 16 de diciembre solicitando se declare la inadmisión del recurso. Considera el Ministerio Fiscal que de los elementos aportados a los autos no puede deducirse que se haya producido vulneración de los derechos fundamentales alegados y que la cuestión de fondo que plantea el recurso interpuesto -si son susceptibles de recurso de apelación las sentencias que en el orden contencioso-administrativo se dicten conforme a la Ley 62/1978, de 26 de diciembreha sido reiteradamente resuelta por las diversas Salas de lo Contencioso-Administrativo y es ajena a la jurisdicción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los solicitantes de amparo evacúan el mismo trámite por escrito presentado el 26 de diciembre último, interesando la admisión del recurso e insistiendo en que la resolución dictada por el Gobernador civil de Valladolid ha vulnerado los derechos constitucionales alegados y que la Orden de 8 de julio de 1978 aplicada está expresamente derogada por la Disposición derogatoria tercera de la Constitución en relación con el art. 21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enjuiciamiento de la posible vulneración de los derechos objeto de amparo, este Tribunal Constitucional, de acuerdo con lo exigido en el artículo 44.1 b) de la LOTC, y según ha tenido ocasión de señalar esta Sala especialmente en su Sentencia de 29 de enero de 1982, ha de partir, como presupuesto necesario, de los hechos considerados probados, contenidos en el presente caso en la Sentencia de la Audiencia Territorial de Valladolid de 23 de enero de 1981, por cuanto, al no constituir la vía de amparo una nueva instancia, no es posible revisar en ella la certeza de los hechos admitidos en las resoluciones judiciales. Por otra parte, es necesario tener presente que no existen derechos ilimitados, pues, como en reiteradas ocasiones ha señalado también este Tribunal, todo dereceho tiene sus límites, fijados por la propia Constitución o impuestos por las necesidad de proteger o preservar otros bienes o derechos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Partiendo de estas bases no puede considerarse infringido en el presente caso el derecho de reunión reconocido en el art. 21 de la Constitución, pues la autoridad gubernativa sancionó hechos, producidos en el ejercicio de dicho derecho, consistentes en gritos incitadores a la violencia, en insultos y en la quema de una bandera pertenciente a una Comunidad Autonóma, y dichos hechos niegan de por sí el carácter pacífico a que se supedita en el indicado precepto constitucional el reconocimiento del derecho de reunión al mismo tiempo que traspasan el límite de respeto al orden público que impone el párrafo dos del mismo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misma conclusión ha de llegarse en relación con los restantes derechos que se pretenden violados. En efecto, de acuerdo con el párrafo 4 del art.  20 de la Constitución, el derecho de expresión tiene como límite el respeto a los derechos reconocidos en el Título I de la misma y en los preceptos de las Leyes que lo desarrollen, entre los que figuran la libertad, la integridad física y moral y el honor, derechos que han de respetar no sólo los poderes públicos, sino también los ciudadanos, de acuerdo con el art. 9 de la Constitución, y que resultan afectados por la violencia propugnada, así como por las actitudes y los gritos sancionados; la necesaria tipificación de la infracción administrativa, contenida en el art.  25.1 de la Constitución y alegada por los recurrentes, se contempla, con independencia de la Orden por ellos citada, en las previsiones de los apartados e) y f) del art. 2 de la Ley de Orden Público; y, por último, la tutela judicial efectiva consagrada en el art. 24.1 se observa al haberse obtenido una resolución fundada de un órgano jurisdiccional, aun cuando fuera desestimatorio de la pretensión de parte, según ha puesto de relieve de forma reiterada este Tribunal, y la inadmisión del recurso de apelación acordada por el Auto del Tribunal Supremo tampoco supone una violación del derecho de defensa, pues se basa en el art. 9 de la Ley 62/1978, de 26 de diciembre, que, interpretada jurisprudencialmente, remite a las normas generales de la Ley de la jurisdicción contencioso-administrativa, la cual, en su art. 94.1 a), fija el límite cuantitativo para la viabilidad de la impugnación, precisamente, en 500.000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 anteriormente expuesto se deduce que en la presente fase inicial de inadmisión aparecen ya infundadas, sin otra alternativa de interpretación posible, las vulneraciones de los derechos fundamentales que se invocan, y ello constituye la esencia de la causa de inadmisión prevista en el párrafo 2 b) del art. 50 de la Ley Orgánica del Tribunal Constitucional, como ya ha tenido ocasión de señalar este Tribunal en anteriores resoluciones.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la inadmisión del recurso interpuesto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marzo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