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136</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14 de abril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Alfredo Garcia Parada, presentó escrito en este Tribunal el día 26 de Octubre pasado, solicitando la reforma inmediata del Código Penal y Ley de Enjuiciamiento Criminal, la aceleración urgente de su proceso juridico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dia 16 de Diciembre del pasado año, acordó hacer saber al solicitante que, según lo dispuesto en el art. 49.1, en relación con el 81.1 de la Ley Orgánica del Tribunal Constitucional (L.O.T.C.) el amparo debe pedirse mediante demanda, con la dirección de Abogado y bajo la representación de Procurador. En su virtud, se otorgó al solicitante un plazo de diez días para que designara Abogado y Procurador que lo defienda y represente, pudiendo, asimismo, interesar de este Tribunal que se haga el nombramiento de turno de oficio. Igualmente acordó hacer saber al solicitante que, una vez nombrados Abogado y Procurador y aceptado el nombramiento por éstos, se otorgará un plazo de diez días para que formalicen la demanda, tal corno dispone el art. 49 de la L.O.T.C. A estos efectos, si pidiere el nombramiento de oficio, podrá remitir al Tribunal Constitucional una relación circunstanciada de los hechos en que funde el amparo y los documentos con que cuente para justificarlos.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dia 18 de Marzo pasado, ha transcurrido el plazo de diez días sin que el solicitante comparezca por medio de Abogado y Procurador, sin que tampoco haya solicitado el nombramiento del turno de oficio.</w:t>
      </w:r>
    </w:p>
    <w:p w:rsidRPr="00C21FFE" w:rsidR="00AD51A7" w:rsidRDefault="008777C4">
      <w:pPr>
        <w:rPr/>
      </w:pPr>
      <w:r w:rsidRPr="&lt;w:rPr xmlns:w=&quot;http://schemas.openxmlformats.org/wordprocessingml/2006/main&quot;&gt;&lt;w:lang w:val=&quot;es-ES_tradnl&quot; /&gt;&lt;/w:rPr&gt;">
        <w:rPr/>
        <w:t xml:space="preserve">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solicitante ha dejado transcurrir el plazo de diez días sin acogerse a la posibilidad de subsanación prevista en el art. 85.2 de la L.O.T.C, pues ni ha comparecido por medio de Procurador y con la asistencia de Letrado, ni ha pedido a este Tribunal que se designen profesionales del turno de oficio. El transcurso del indicado plazo sin que se subsanara la omisión determina la inadmisión del recurso, tal como dispone el art. 50.1.b) en relación con el 49.1 y 80.1,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 .</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abril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