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12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procedimiento seguido en el indicado asunto y ha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recurso fue iniciado por escrito del Procurador don Juan Antonio García San Miguel en representación de don José Maldonado Nausia, de fecha 18 de febrero pasado (presentado al siguiente día en el Registro de este Tribunal); en dicho escrito se formulaba demanda de amparo frente a resolución desestimatoria presunta del Ministerio de la Presidencia del Gobierno, por silencio administrativo, del escrito de fecha 28 de septiembre de 1981, que el demandante dirigió a dicho Ministerio postulando el derecho a comunicar libremente información veraz a través de sus propios transmisores de televisión, al amparo del art. 20 de la Constitución Española. La Sección, por providencia de 10 de marzo, acordó admitir a trámite el recurso, recabándose los antecedentes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demandante presentó en 17 de abril siguiente escrito desistiendo de este recurso, acordándose por providencia de 28 del mismo mes dar traslado al Ministerio Fiscal y al Abogado del Estado de la petición de desistimiento, mostrando ambos su conformidad a dicha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del actor, cumplidos los requisitos de suficiencia del poder y de forma, y al que no se han opuesto el Ministerio Fiscal y el Abogado del Estado, da lugar a la terminación del proceso, mediante la resolución que dice el art. 86.1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tener por desistido al Procurador don Juan Antonio García San Miguel en representación de don José María Maldonado Nausia del recurso de amparo de que se ha hecho mérito, seguido bajo el núm.  53/1982.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