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19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Rafael Escobedo Alday, presentó escrito en este Tribunal el 15 de octubre del pasado año, solicitando la reforma inmediata del Código Penal y Ley de Enjuiciamiento Criminal, la aceleración urgente de su proceso jurídico y si procede su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18 de noviembre de 1.981, acordó hacer saber al solicitante que según lo dispuesto en el art. 49.1 en relación con el 81.1 de la Ley Orgánica del Tribunal Constitucional (L.O.T.C.) el amparo debe pedirse mediante demanda, con la dirección de Abogado y bajo la representación de Procurador. En su vitud se otorgó al solicitante un plazo de diez diás para que designara Abogado y Procurador que lo defienda y represente, pudiendo, asimismo, interesar de este Tribunal que se haga el nombramiento de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cuatro de marzo pasado,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