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marzo de 1982, se recibió en este Tribunal escrito de Don José Penas Viéitez, de fecha 29 del mismo mes, solicitando se recabe de los Poderes Públicos competentes que se proceda ante las Diputaciones Provinciales de Cáceres y Badajoz, para que las mismas realicen la contratación de obras y servicios en la forma que determinan las leyes vigentes al respecto, y se les exijan las correspondientes responsabilidades por las reiteradas infracciones reglamentarias que en tal sentido vienen cometiendo.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21 de abril del mismo año, se dictó por este Tribunal providencia por la que, entre otros extremos, se acordaba notificar al solicitante la posible existencia de la causa de inadmisibilidad consistente en la falta de postulación, al no estar representado por Procurador ni actuar bajo la dirección de Letrado, concediéndole el plazo de diez dias para que procediera a la subsanación de este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al solicitante, ni ha subsanado el defecto ni ha hecho manifestación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81.1 de la Ley Orgánica del Tribunal Constitucional (L.O.T.C.) dispone que las personas físicas o jurídicas cuyo interés les legitime para comparecer en los procesos constitucionales como actores o coadyuvantes deberán conferir su representación a un Procurador y actuar bajo la dirección de Letrado. El incumplimiento de estos requisitos constituye un defecto subsanable, de acuerdo con lo dispuesto en los artículos 50 y 85.2 de la misma L.O.T.C.; pero, al no haberse subsanado en el plazo oportuno, se convierte en defecto insubsanable y en motivo de inadmisión, con arreglo a los preceptos citados.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indamisibilidad del recurso de que se ha hecho mérito, ordenando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