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mayo de 1982, tuvo entrada en el Registro de este Tribunal un recurso de amparo, formulado por el Procurador don José Tejedor Moyano, en representación de doña María Isabel López Berruti, contra las Sentencias de 3 de febrero de 1982, del Juzgado de Instrucción núm. 3 de Alicante, recaída en Diligencias Preparatorias núm. 26/1981, y la que la confirmó de la Sala Primera de la Audiencia Provincial de Alicante, de 4 de mayo de 1982, por entender que las mismas vulneran el art. 24.2 de la Constitución, suplicando Sentencia restableciendo a la recurrente en la integridad de su derecho a la presunción de inocencia, anulando las resoluciones combatidas, por haber sido condenada sin indicios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poniendo de manifiesto los motivos de inadmisión de carácter insubsanable, de no haberse probado que, al formular el recurso de apelación, se invocara formalmente el derecho constitucional vulnerado, según establece el art. 44.1 c) de la Ley Orgánica de este Tribunal Constitucional (LOTC), y carecer la demanda manifiestamente de contenido que justificara por parte del Tribunal una decisión de fondo, conforme al art. 50.2 b) de dicha Ley, concediendo un plazo al Ministerio Fiscal y a la parte promovente del recurso, de diez días, para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no constaba cumplido el requisito del citado art. 44.1 c) de la mencionada Ley Orgánica, debiendo inadmitirse el recurso según el art. 50, y además, que no estaba vulnerada la presunción de inocencia, por existir practicadas pruebas en el proceso penal, según se reconoce por la recurrente, pretendiendo con sus alegaciones sustituir el criterio establecido en los hechos probados por los Juzgadores penales, por el propio de la recurrente, lo que le prohíbe el art. 44.1 b), careciendo el Tribunal Constitucional de específica competencia, según se determina en los arts. 2, 4.2, 41 y siguientes de la LOTC, solicitando auto acordando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parte recurrente alegó que en el escrito de interposición del recurso de apelación contra la Sentencia del Juzgado implícitamente había alegado el derecho constitucional vulnerado, y expresamente en el acto de la vista oral, aunque no se recogiera nada en la sentencia de apelación; y también reprodujo la argumentación de la demanda de amparo, proclamando que contiene requisitos legales y materia constitucional, que debe ser objeto de resolución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reiteración este Tribunal viene precisando que el recurso de amparo no es una tercera instancia que permita revisar los hechos declarados probados por las sentencias penales, establecidos con base en pruebas practicadas en el proceso, pues el art. 44.1 b) de la LOTC exige sean respetados; sin que por ello puedan admitirse las alegaciones y pretensiones que tiendan a sustituir la valoración realizada por los Jueces penales de las pruebas practicadas, según el art. 749 de la Ley de Enjuiciamiento Criminal, por la versión que la parte interesada haga de ellas, careciendo de facultad decisoria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consta claramente en las sentencias del Juzgado de Instrucción y de la Audiencia, haberse practicado prueba testifical, y la declaración de la propia recurrente, así como la información de la Guardia Civil de Tráfico, basándose aquellas resoluciones en el resultado de estas justificaciones para establecer los hechos probados que condujeron a subsumir la conducta juzgada en el delito de imprudencia simple, reconociendo la propia recurrente al entablar el recurso de apelación que el resultado que se contenía en la Sentencia del Juzgado «no corresponde a las pruebas practicadas», lo que determina el cumplimiento de la exigencia básica establecida por este Tribunal, para que resulte destruida la presunción de inocencia, de que haya un principio mínimo de prueba de cargo; siendo por lo demás rechazable el recurso, porque se articula exclusivamente no aceptando los hechos probados, y con la directa pretensión de sustituirlos por otros, sobre la manera como acaeció el atropello y muerte de una persona, y sobre la negligencia del equipo médico en el tratamiento de aquélla, pues al patrocinar o intentar imponer su versión de hechos frente a los de los órganos judiciales, pretende convertir el amparo en una tercera instancia, en oposición a su naturaleza verdadera, incurriendo en la causa de inadmisión del art. 50.2 b) de la LOTC, por carecer el amparo manifiestamente de contenido que justifique una decisión -de fondo- por parte de este Tribunal; sin resultar necesario examinar con superior precisión el defecto del art. 44.1 c) de la propia Ley, también existente, por no demostrar haber invocado formalmente el derecho constitucional vulnerado en el momento de la apelación de la sentencia del Juzgado de Instrucción.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