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 L. L., empleado de la Compañía Iberia, Líneas Aéreas de España, según figura en la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13 de Madrid de fecha 11 de julio de 1980 en el resultando de los hechos probados que como tal es reproducido en la Sala de lo Social del Tribunal Supremo de 19 de abril de 1982, fue despedido por la citada empresa el 10 de mayo de 1979 por haber efectuado en el avión procedente de Nueva York (vuelo 952) «de forma subrepticia» el transporte de una determinada mercancía que no pudo introducir por haber sido aprehendida por los Servicios de Aduanas; por los hechos citados abrió la empresa el oportuno expediente disciplinario, no negándose por el interesado en el oportuno pliego de cargos. El Tribunal de Contrabando responsable de una infracción de contrabando al señor L. L. por resolución de 12 de marzo de 1980 en la que se le impuso una multa de 3.585.178 pesetas. Esta resolución no es firme, pues contra ella interpuso el señor L. L. en su día recurso de apelación ante el Tribunal Económico Administrativo, pendiente de resolución todavía.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despido interpuso demanda ante la Magistratura antes citada que declaró procedente aquél por su Sentencia de 11 de julio de 1980; habiendo sido impugnada en casación, la Sala Sexta desestimó el recurso por Sentencia de 19 de abril de 1982; contra la cual dirige ahora su recurso de amparo, por entender que ha violado el derecho del señor L. L. «que recoge nuestra Constitución en su art. 24 en cuanto al derecho que tiene el mismo de obtener tutela efectiva de los jueces y tribunales». En consecuencia pide en su demanda de amparo que este Tribunal ordene que se le reintegre en su puesto de trabajo con abono de las percepciones a que tenga derecho, «dejando por ello sin efecto la resolución del Tribunal Supremo, y al mismo tiempo todo aquello que fuere necesario para preservar al señor L. L. los derechos constitucionales que el mismo detenta por su misma nacionalidad».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15 de julio, abrió el trámite del art. 50 LOTC y puso de manifiesto la posible existencia de las siguientes causas de inadmisibilidad: «1.ª Falta de precisión del derecho constitucional que se estima vulnerado, y en el amparo que se solicita [arts. 50.1 b)] en relación con el 49.1, ambos de la Ley Orgánica del Tribunal Constitucional; 2.ª La del art. 50.1 b) en relación con el 44.1 b), ambos de la Ley antes citada, respecto a que la lesión sea imputable de modo inmediato y directo a la resolución judicial; 3.ª Carecer la demanda manifiestamente de contenido constitucional [art. 50.2 b) de la LOTC].» Al mismo tiempo otorgó un plazo común de diez días al solicitante y al Ministerio Fiscal para que formularan alegaciones. </w:t>
      </w:r>
    </w:p>
    <w:p w:rsidRPr="00C21FFE" w:rsidR="00AD51A7" w:rsidRDefault="008777C4">
      <w:pPr>
        <w:rPr/>
      </w:pPr>
      <w:r w:rsidRPr="&lt;w:rPr xmlns:w=&quot;http://schemas.openxmlformats.org/wordprocessingml/2006/main&quot;&gt;&lt;w:lang w:val=&quot;es-ES_tradnl&quot; /&gt;&lt;/w:rPr&gt;">
        <w:rPr/>
        <w:t xml:space="preserve">El Fiscal General del Estado concluye las suyas pidiendo la inadmisión. El recurrente afirma en su escrito de alegaciones que ya en el de interposición del recurso de amparo «señalaba que el derecho constitucional vulnerado por la Magistratura del Trabajo de Madrid y Sala Sexta del Tribunal Supremo era el de la presunción de inocencia que recoge el art. 24 de la C.E.». Tras breves consideraciones termina suplicando que se admita su recurso y que este Tribunal deje «sin efecto por improcedente el despido llevado a efecto por la Compañía Iberia».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el recurrente no ha conseguido subsanar la causa de inadmisibilidad que se le indicó como primera entre las posibles en la providencia de la Sección Cuarta. Aunque en la demanda de amparo solicitaba éste por presunta violación del derecho a «obtener la tutela efectiva», en la primera de sus alegaciones afirma, lo que no es cierto, que ya en la demanda consideró vulnerado su derecho a la presunción de inocencia.  Es evidente que éste, recogido en el art. 24.2, in fine, no puede identificarse con el derecho que «todas las personas» (y no sólo las de nacionalidad española como parece creer el recurrente) tienen a obtener la tutela efectiva de los jueces y tribunales, y también lo es que en el escrito de alegaciones con ocasión del trámite del art. 50 LOTC no puede operarse un cambio en el petitum de la demanda ni en su causa petendi, por todo lo cual hay que afirmar que subsiste la falta de precisión del derecho constitucional que se estima violado. Como por lo demás tampoco ha logrado aclarar cuál es el amparo que se solicita, pues en el escrito de alegaciones sólo pide que este Tribunal deje sin efecto el despido, pero no pide ni en él ni antes en la demanda la nulidad de ninguna resolución de poder público [art. 55.1 a) de la LOTC], pues en aquella sólo solicitó que se dejara «sin efecto» (sic) la resolución del Tribunal Supremo, hemos de concluir que en su demanda concurre la primera de las causas de inadmisibilidad citadas, por lo que, al amparo de los arts.</w:t>
      </w:r>
    </w:p>
    <w:p w:rsidRPr="00C21FFE" w:rsidR="00AD51A7" w:rsidRDefault="008777C4">
      <w:pPr>
        <w:rPr/>
      </w:pPr>
      <w:r w:rsidRPr="&lt;w:rPr xmlns:w=&quot;http://schemas.openxmlformats.org/wordprocessingml/2006/main&quot;&gt;&lt;w:lang w:val=&quot;es-ES_tradnl&quot; /&gt;&lt;/w:rPr&gt;">
        <w:rPr/>
        <w:t xml:space="preserve">49.1 y 50.1 b), hay que declarar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se da también en éste la carencia manifiesta de contenido constitucional [art. 50.2 b) LOTC], y ello principalmente por dos razones.  La primera es que no se aprecia, pues el recurrente se limita a afirmar, pero no a justificar su existencia, cuál es la conexión existente entre la o las Sentencias que él impugna y el derecho que entiende violado, pues es innegable que con ellas se satisfizo su derecho a la tutela efectiva que, como este Tribunal ha sostenido reiteradamente, no consiste en un supuesto derecho a obtener una resolución judicial estimatoria de la pretensión.  La segunda razón consiste en que, como con toda claridad se recoge en ambas Sentencias, la causa de despido no es idéntica a la de la condena del Tribunal de Contrabando por él recurrida y que aún no ha alcanzado firmeza, aunque unos mismos hechos, los declarados probados y por él nunca discutidos, sean el soporte fáctico del despido y de la eventual condena por contrabando, pues la causa del despido encaja sin duda alguna en el art. 54.2 d) de la Ley 8/1980, de 10 de marzo (Ley que contiene el Estatuto de los Trabajadores), donde se recoge como tal «la transgresión de la buena fe contractual, así como el abuso de confianza en el desempeño del trabajo», por todo lo cual en modo alguno puede sostenerse que una resolución firme en el recurso contra la Sentencia condenatoria del Tribunal de Contrabando haya de tener carácter prejudicial respecto a la Sentencia del orden jurisdiccional social.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y sin que sea necesario proceder a analizar la concurrencia de la segunda de las causas mencionadas en la providencia de 15 de julio, una vez estimada la existencia de las causas primera y tercera allí enumeradas, esto es, las</w:t>
      </w:r>
    </w:p>
    <w:p w:rsidRPr="" w:rsidR="00AD51A7" w:rsidRDefault="008777C4">
      <w:pPr>
        <w:rPr/>
      </w:pPr>
      <w:r w:rsidRPr="&lt;w:rPr xmlns:w=&quot;http://schemas.openxmlformats.org/wordprocessingml/2006/main&quot;&gt;&lt;w:szCs w:val=&quot;24&quot; /&gt;&lt;/w:rPr&gt;">
        <w:rPr/>
        <w:t xml:space="preserve">recogidas, respectivamente, en el art. 50.1 b) en relación con el 49.1 y en el art. 50.2 b), todos de la LOTC, la Sala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