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marzo pasado se presentó por Doña Victoria Catalá Roig demanda de amparo contra sentencia dictada por el Tribunal Central de Trabajo (T.C.T.) en el recurso de suplicación número 1568/82 que revocaba sentencia que la Magistratura de Trabajo de Tarragona había dictado en proceso seguido a instancia de la misma parte demandante contra el Instituto Nacional de la Seguridad Social sobre prestaciones de jubilación del Régimen Especial de Autónomos de Agricultura; entendía la representación recurrente que se había vulnerado el artículo 14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artículo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no pudo invocar en vía judicial la vulneración de los preceptos constitucionales en que la demanda se funda porque tal vulneración se produjo en el último acto judicial en el T.C.T. Por lo que se refiere al contenido constitucional de la demanda de amparo, expone que se ha violado el artículo 14 de la Constitución al haberse dado un trato distinto a españoles que se encuentran en la misma sitúación de hecho y de derecho.</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nº 158/77, de 14 de noviembre, y n° 171/77, de 7 de diciembre, que aplicaron criterios diferentes. Pero ambas circulares han sido expresamente derogadas por Resolución de la Dirección General del Instituto Nacional de la Seguridad Social 41/81,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seguido de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periodos anteriores a la afiliación, es materia ajena al Tribunal Constitucional, que deberá ser resuelta por la jurisdicción ordinaria, de acuerdo con el derecho positivo vigente.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quedarian incluidos en el campo de aplicación del Régimen Especial de la Seguridad Social de los trabajadores Autónomos, régimen con efectos a partir de 1 de julio de aquel año, personas afectadas, entre las que se halla la recurrente actual, no se afiliaron a la Seguridad Social hasta fecha muy posterior al nacimiento de aquella obligación (la demandante en amparo lo hizo mediante alta de 28 de abril de 1.978) por lo que les fueron reclamadas e hicieron efectivas las cuotas correspondientes al período de tiempo comprendido entre el mes de julio de 1.975 hasta el día del alta surgiendo discrepancia en cuanto a si son o no computables esas cuotas exigidas por atrasos a efectos de completar el período de carencia de sesenta meses llegado el momento de solicitud de prestación de jubilación del trabajador interesado, criterios variables que la recurrente pone de relive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periodos anteriores a la misma, suspendiéndose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período anterior al alta, mientras que a otros -como la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artículo 14 de la C.E., conviene resaltar que en este caso, como sin duda en muchos otros, es cierto que los órganos administrativos no han aceptado siempre un único criterio, sino que el mismo fue dual y antagónico, más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la recurrente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la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 14 de la C.E., por lo que tal recurso ha de declararse inadmisible de conformidad con la previsión contenida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