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abril pasado se presentó por Doña Esther Riol Barrientos demanda de amparo contra sentencia dictada por el Tribunal Central de Trabajo (T.C.T.) en el recurso de suplicación número 1.687/82 que revocaba sentencia que la Magistratura de Trabajo número 1 de León habia dictado en proceso seguido a instancia de la misma parte demandante contra el Instituto Nacional de la Seguridad Social sobre prestaciones de jubilación del Régimen Especial de Autónomos de Agricultura; entendia la representación recurrente que se habían vulnerado los artículos 14 y 24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articulo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último acto judicial en el T.C.T.; y que incluso la mera invocación de tales preceptos se realizó, aún antes de que la vulneración se produjese, en la propia demanda laboral, indirectamente. Por lo que se refiere al contenido constitucional de la demanda de amparo, expone que se ha producido violación del artículo 28.3 d). Y además se ha vulnerado el artículo 14 CE. al haberse requerido el pago de cotizaciones desde una fecha y no retrotraer a dicha misma fecha el alta efectuada.</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nº 158/77,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 Y por lo que se refiere a la presunta violación del artículo 24 C.E., no puede decirse que exista cuando se ha seguido una correcta vía procesal en la que han recaído dos sentencias en respuesta a la pretensión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(la demandante en amparo lo hizo mediante alta de 20 de marzo de 1981) por lo que les fueron reclamadas e hicieron efectivas las cuotas correspondientes al periodo de tiempo comprendido entre el mes de julio de 1975 hasta el día del alta, surgiendo discrepancia en cuanto a si son o no computables esas cuotas exigidas por atrasos a efectos de completar el periodo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1 977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periodo anterior al alta, mientas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articulo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periodos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artículo 14 de la CE., por lo que tal recurso ha de declararse inadmisible de conformidad con la previsión contenida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garantías, y sin que el interesado ponga de manifiesto irregularidad alguna, y respecto de lo segundo son suficientes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