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abril pasado se presentó por Doña Vicenta Figueras Navarro demanda de amparo contra sentencia dictada por el Tribunal Central de Trabajo (T.C.T.) en el recurso de suplicación número 2.376/82 que confirmaba sentencia que la Magistratura de Trabajo nº 1 de Tarragona había dictado en proceso seguido a instancia de la misma parte demandante contra el Instituto Nacional de la Seguridad Social sobre prestaciones de jubilación del Régimen Especial de Autónomos de Agricultura; entendía la representación recurrente que se habían vulnerado los artículos 14 y 24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artículo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no pudo invocar en vía judicial la vulneración de los preceptos constitucionales en que la demanda se funda porque tal vulneración se produjo en el mismo recurso de suplicación ante el T.C.T. Por lo que se refiere al contenido constitucional de la demanda de amparo, expone que se ha producido violación del artículo 24 CE. por razón de la indefensión producida a la demandante en la vía administrativa y asimismo se ha vulnerado el artículo 14 de la Constitución al haberse dado un trato distinto a españoles que se encuentran en la misma situación de hecho y de derecho.</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 158/77, de 14 de noviembre, y 171/77, de 7 de diciembre, que aplicaron criterios diferentes. Pero ambas circulares han sido expresamente derogadas por Resolución de la Dirección General del Instituto Nacional de la Seguridad Social 41/81, de 12 de junio que establece que "las cotizaciones correspondientes a periodos anteriores a la fecha de formalización del alta en el Régimen Especial de.Autónomos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de forma constante por la jurisdicción laboral, a quién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periodos anteriores a la afiliación, es materia ajena al Tribunal Constitucional, que deberá ser resuelta por la jurisdicción ordinaria, de acuerdo con el derecho positivo vigente. Y por lo que se refiere a la presunta violación del artículo 24 CE., no puede decirse que exista cuando se ha seguido una correcta vía procesal en la que han recaído dos sentencias en respuesta a la pre tensión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la recurrente actual, no se afiliaron a la Seguridad Social hasta fecha muy posterior al nacimiento de aquella obligación (la demandante en amparo lo hizo mediante alta de 1 de marzo de 1.979) por lo que les fueron reclamadas e hicieron efectivas las cuotas correspondientes al período de tiempo comprendido entre el mes de julio de 1.975 hasta el día del alta, surgiendo discrepancia en cuanto a si son o no computables esas cuotas exigidas por atrasos a efectos de completar el período de carencia de sesenta meses llegado el momento de solicitud de prestación de jubilación del trabajador interesado, criterios variables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periodos anteriores a la misma, suspendiendose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periodo anterior al alta, mientras que a otros, como la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articulo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 te criterio, y sin que, como ya queda apuntado, se haya aducido por la recurrente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la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 14 de la CE., por lo que tal recurso ha de declararse inadmisible de conformidad con la previsión contenida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violación del derecho garantizado en el art. 24 de la CE. la denuncia la parte recurrente de un modo enteramente genérico, impreciso y superficial, pero que puede concretarse en haberse causado indefensión e interpretado erróneamente por el Tribunal Laboral la normativa aplicable, a lo que cabe argüir, en cuanto a los primero, que se ha seguido un proceso en doble instancia, con plenitud de garantías, y sin que el interesado ponga de manifiesto irregularidad alguna, y respecto de lo segundo son suficientes las consideraciones expuestas en el fundamento jurídico que antecede para alcanzar la conclusión que en tal lugar se precisa.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