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360</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20 de julio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ha examinado la pieza de suspensión del recurso de amparo promovido por «Unión Popular de Seguros, S. 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24 de marzo pasado el Procurador don Argimiro Vázquez Guillén presentó en nombre de la Compañia «Unión Popular de Seguros, S. A.», demanda de amparo frente a Sentencia dictada por el Juzgado de Instrucción núm. 4 de Alicante en apelación 58/1982 procedente del Juzgado de Distrito núm. 4 de aquella ciudad, juicio de faltas 83/1982.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presentado en 16 de mayo siguiente, dicha representación presentó escrito pidiendo la suspensión de la ejecución de la Sentencia impugnada formándose la correspondiente pieza incidental en que se acordó oír a la demandante y al Ministerio Fiscal. </w:t>
      </w:r>
    </w:p>
    <w:p w:rsidRPr="00C21FFE" w:rsidR="00AD51A7" w:rsidRDefault="008777C4">
      <w:pPr>
        <w:rPr/>
      </w:pPr>
      <w:r w:rsidRPr="&lt;w:rPr xmlns:w=&quot;http://schemas.openxmlformats.org/wordprocessingml/2006/main&quot;&gt;&lt;w:lang w:val=&quot;es-ES_tradnl&quot; /&gt;&lt;/w:rPr&gt;">
        <w:rPr/>
        <w:t xml:space="preserve">El Ministerio Fiscal consideró procedente acceder a la suspensión solicitada condicionándola a una caución suficiente. </w:t>
      </w:r>
    </w:p>
    <w:p w:rsidRPr="00C21FFE" w:rsidR="00AD51A7" w:rsidRDefault="008777C4">
      <w:pPr>
        <w:rPr/>
      </w:pPr>
      <w:r w:rsidRPr="&lt;w:rPr xmlns:w=&quot;http://schemas.openxmlformats.org/wordprocessingml/2006/main&quot;&gt;&lt;w:lang w:val=&quot;es-ES_tradnl&quot; /&gt;&lt;/w:rPr&gt;">
        <w:rPr/>
        <w:t xml:space="preserve">La parte demandante no ha añadido en esta Audiencia alegación alguna a la formulada con su petición y que consistía en que la ejecución de la Sentencia haría perder al amparo su finalidad.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La suspensión de la ejecución de la Sentencia impugnada en esta vía constitucional, que condenó al pago de una indemnización, sólo implicaría una dilación en dicho pago; dilación que sólo se extendería al tiempo que dure la sustanciación del recurso, no apreciandose que tal suspensión pueda afectar gravemente a los intereses generales o derechos del tercero. La ejecución de la Sentencia, en cambio, con la subasta de los bienes embargados a la entidad demandante, podría hacer perder al amparo su finalidad, por lo que se está en el supuesto del art. 56.1 de la Ley Orgánica de este Tribunal, debiendo accederse a la suspensión pedida sin necesidad de afianzamiento al estar ya embargados los bienes de la demandante.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acuerda acceder a la suspensión de la Sentencia impugnada en este recurso de amparo; y que se entregue certificación de esta resolución al Procurador de la demandante para su presentación y eficacia en el Juzgado de instancia.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julio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