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de Vacaciones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385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12 de agosto de 1983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>La Sección ha examinado la pieza de suspensión en el recurso arriba indicado.</w:t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En 20 de julio pasado se presentó por la «Compañía Internacional de Seguros, S. A.», demanda de amparo frente a providencia dictada por el Juzgado de Instrucción núm. 1, de Hospitalet, de 5 de abril de 1983, que requirió a la demandante al abono de una completa indemnización en lugar de sólo las cantidades cubiertas por el Seguro Obligatorio de Automóviles.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En la referida demanda de amparo se pidió la suspensión de la ejecución de la resolución impugnada, formándose la correspondiente pieza separada en que fueron oídos la demandante y el Ministerio Fiscal.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La representación demandante ratificó lo alegado en la demanda, en que exponía que el amparo perdería su finalidad con la ejecución que pretendía se suspendiese.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El Ministerio Fiscal expone que de las alegaciones del recurrente no se deriva que la ejecución pueda ocasionar perjuicio excluyente de la eficacia del amparo.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Unico.  En la demanda no se precisa cuáles son los perjuicios que para el derecho fundamental cuya protección se pide, pudieran derivarse de la ejecución de la resolución recurrida. Y esta omisión no se subsana en el escrito presentado en el trámite del art. 56.2 de la LOTC, por lo que falta el presupuesto para adoptar una decisión de suspensión.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Por lo expuesto, la Sección acuerda denegar la suspensión de que se ha hecho mérito.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doce de agosto de mil novecientos ochenta y tres.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