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Genara Maeso Palacios formuló en su día demanda ante la Magistratura de Trabajo nº 2 de las de Burgos en solicitud de pensión de viudedad al amparo de la Ley 1/80 de 4 de enero. Aunque la Sentencia de Magistratura le fue favorable, el Tribunal Central de Trabajo en la suya de 29 de marzo de 1983, acogió el recurso de suplicación que el Instituto Nacional de la Seguridad Social interpuso contra la resolución de la instancia. Contra la Sentencia del Tribunal Central de Trabajo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18 de mayo admitió el recurso y acordó que se pidiesen las correspondientes actuaciones judiciales al amparo del artículo 51 de la Ley Orgánica de este Tribunal (LOTC). Recibidas éstas y personado el Instituto Nacional de la Seguridad Social (INSS), la misma Sección por providencia de 22 de junio abrió el trámite de alegaciones que regula el artículo 52 de la LOTC. Posteriormente y tras dictarse por esta Sala en su recurso 61/83 Sentencia de fecha 26 de julio de 1983, acordó dar traslado a las partes de las actuaciones y de la referida Sentencia, por la posible conexión de ésta con el presente caso y con el artículo 50.2.c) de la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formuló alegaciones. Por su parte el Fiscal General del Estado estima que concurre aquella causa de inadmisibilidad sobrevenida y pide por tanto la inadmisión del recurso. En el mismo sentido se pronuncia 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recurso de amparo 61/83 tiene por objeto dilucidar si las viudas, y en concreto la recurrente, de trabajadores agricolas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artículo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Genara Maeso Palacios.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