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Calderón Gómez formuló en su día demanda ante la Magistratura de Trabajo de Badajoz en solicitud de pensión de viudedad al amparo de la Ley 1/80 de 4 de enero. Aunque la Sentencia de Magistratura le fue favorable, el Tribunal Central de Trabajo en la suya de 21 de marzo de 1983, acogió el recurso de suplicación que el Instituto Nacional de Seguridad Social interpuso contra la resolución de la instancia. Contra la Sentencia del T.C.T. dedujo demanda de amparo pidiendo a este Tribunal que declarara la nulidad de aquélla por considerarla discriminatoria y en cuanto tal contraria al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8 de junio admitió el recurso y acordó que se pidiesen las correspondientes actuaciones judiciales al amparo del art. 51 de la LOTC. Recibidas éstas, la misma Sección por providencia de 16 de septiembre acusó recibo, y acordó dar traslado a las partes de las actuaciones y de la Sentencia dictada por este Tribunal a 26 de julio de 1983 en el R.A. 61/83, por su posible conexión con el presente caso y con el art. 50.2.c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aquella causa de inadmisibilidad sobrevenida y pide,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agricolas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 .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Maria Calderón Gómez.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