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juridicas de la extinguida Diputación Provincial de Madrid, y por tanto en la que sirve de base al presente proceso constitucional, presentó recurso de amparo contra la sentencia del Tribunal Central de Trabajo de 15 de julio de 1983 por la violación que a su juicio ha producido esta sentencia en el derecho fundamental a no ser discriminada una persona por razón de sexo, derecho protegido por los-artículos 14 y 35.1 de la Constitución.</w:t>
      </w:r>
    </w:p>
    <w:p w:rsidRPr="00C21FFE" w:rsidR="00AD51A7" w:rsidRDefault="008777C4">
      <w:pPr>
        <w:rPr/>
      </w:pPr>
      <w:r w:rsidRPr="&lt;w:rPr xmlns:w=&quot;http://schemas.openxmlformats.org/wordprocessingml/2006/main&quot;&gt;&lt;w:lang w:val=&quot;es-ES_tradnl&quot; /&gt;&lt;/w:rPr&gt;">
        <w:rPr/>
        <w:t xml:space="preserve">Con fecha 26 de marzo de 1982 Dª Maria Jesús Armendáriz Irigoyen y otras trabajadores interpusieron ante la Magistratura de Trabajo numero 18 de las de Madrid demanda contra la Excelentísima Diputación pidiendo se declarara su derecho a seguir rigiéndose en su jornada laboral por el régimen para ellas establecido desde 1977, y no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12 de enero de 1983, desestimó la pretensión de las actoras y absolvió a la Diputación de la demanda. Las demandantes recurrieron contra esta sentencia en suplicación ante el Tribunal Central de Trabajo, el cuál, en su indicada sentencia de 15 de julio de 1983, ahora impugnada en amparo, estimó el recurso de suplicación y revocó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de la LOTC) pide la declaración de nulidad de la sentencia del Tribunal Central de Trabajo así como firme y subsistente la de la Magistratura y que se le reconozca a ella su derecho a aplicar al personal femenino de turno de noche el horario establecido en el artículo 23.c del Convenio ya citado, "como lo tiene el personal masculino". Cita en su apoyo los artículos 14 y 35.1 de la Constitución,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19 de octubre de 1983 acordó poner de manifiesto a las partes, la posible concurrencia de dos causas insubsanables de admisión:</w:t>
      </w:r>
    </w:p>
    <w:p w:rsidRPr="00C21FFE" w:rsidR="00AD51A7" w:rsidRDefault="008777C4">
      <w:pPr>
        <w:rPr/>
      </w:pPr>
      <w:r w:rsidRPr="&lt;w:rPr xmlns:w=&quot;http://schemas.openxmlformats.org/wordprocessingml/2006/main&quot;&gt;&lt;w:lang w:val=&quot;es-ES_tradnl&quot; /&gt;&lt;/w:rPr&gt;">
        <w:rPr/>
        <w:t xml:space="preserve">a) la del artículo 50.1.b) de la LOTC en relación con el 46.1.b) y el 44.c de la Ley Orgánica de este Tribunal (LOTC), por falta de legitimación de la Comunidad demandante; y b) la del 50.2.b) de la LOTC. Al mismo tiempo abrió el plazo común para alegaciones del artículo 50 de la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de la LOTC, como por el artículo 162.1.b CE, que habla de "interés legítimo", expresión que este Tribunal ha declarado que es más amplia que la de interés directo de la Ley Reguladora de la Jurisdicción Contencioso-Administrativa.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motivos de inadmisibilidad y por consiguiente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que a juicio de la demandante ha sido violado por la sentencia impugnada es, según sus propias palabras, "el derecho fundamental de no ser discriminada una persona por razón de sexo". Dada su condición de persona juridica, es obvio que la entidad demandante no acude al amparo constitucional para denunciar una discriminación por ella padecida por tal causa, pues si en la materia objeto del proceso laboral se hubiera producido alguna discriminación por razón del sexo ésta tendría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de la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presenté recurso de amparo que, por lo mismo, debe ser declarado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manifiesto en nuestra providencia de 19 de octubre,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