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617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7 de diciembre de 1983</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Desistimiento: procedencia.</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el Fiscal ante el Tribunal Constitucional.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Ministerio Fiscal presentó en 2 de agosto pasado demanda de amparo frente a la Sentencia dictada por la Magistratura de Trabajo núm. 2 de Sevilla el 22 de junio anterior, por la que se desestimaba la reclamación formulada por don Antonio Hernández Díaz, Ayudante Técnico Sanitario, relativa a horario laboral no discriminado respecto al mismo personal técnico femenino.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noviembre se acordó oír al Ministerio Fiscal acerca del mantenimiento de su recurso una vez que el propio perjudicado don Antonio Hernández Díaz había interpuesto otro, al que correspondió el núm. 531/1983, con el mismo objeto y en el que se había puesto de manifiesto al recurrente la posible satisfacción de su derecho. </w:t>
      </w:r>
    </w:p>
    <w:p w:rsidRPr="00C21FFE" w:rsidR="00AD51A7" w:rsidRDefault="008777C4">
      <w:pPr>
        <w:rPr/>
      </w:pPr>
      <w:r w:rsidRPr="&lt;w:rPr xmlns:w=&quot;http://schemas.openxmlformats.org/wordprocessingml/2006/main&quot;&gt;&lt;w:lang w:val=&quot;es-ES_tradnl&quot; /&gt;&lt;/w:rPr&gt;">
        <w:rPr/>
        <w:t xml:space="preserve">El Ministerio Fiscal ha expuesto que desiste de su recurso, habida cuenta de la existencia del otro, así como de que el interesado ya ha obtenido de la Jurisdicción Laboral el reconocimiento del derecho que pretendía.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Ministerio Fiscal se aparta del presente recurso porque respecto de la misma resolución y a instancia del propio perjudicado, en cuyo favor actuaba, se ha interpuesto otro recurso de amparo con el mismo objeto y porque entiende que aquél ya ha obtenido el reconocimiento de su derecho.  Si bien el art.  46.2 de la Ley Orgánica de este Tribunal dispone que si el recurso se promueve por el Ministerio Fiscal deberá llamarse a los posibles agraviados, ello no es preciso en el presente caso por existir otro recurso seguido a instancia del propio perjudicado.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apartado y desistido al Ministerio Fiscal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