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proceso constitucional seguido respecto del Real Decreto-ley 2/1983, de 23 de febrero, sobre expropiación, por razones de utilidad pública e interés social, de los Bancos y otras Sociedades que componen el grupo Rumasa, S. A., decidido por Sentencia de fecha 2 de diciembre de 1983, presentó don José María Ruiz Gallardón, comisionado de los recurrentes, escrito solicitando que se tuviera por planteada recusación. A este escrito recayó providencia de fecha 20 de diciembre último, por la que se acordó por el Pleno no haber lugar a admitir a trámite el escrito de fecha 9 de diciembre, porque el mismo no aparece formulado en tiempo y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esta providencia, el comisionado, señor Ruiz Gallardón, interpuso recurso de súplica, alegando como motivos de impugnación los siguientes: a) infracción del art. 86.1 de la Ley Orgánica del Tribunal Constitucional (LOTC), porque la decisión debió adoptar la forma de Auto; b) indebido rechazo del escrito de recusacion, porque fue planteado en tiempo, y c) indebido rechazo de la recusación porque estaba bien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recurso de súplica se dio traslado al Abogado del Estado, que se opuso al mismo argumentando: a) que no se ha infringido el art. 86.1 de la LOTC, porque este precepto no impone la forma de Auto para las decisiones como la impugnada; por otra parte, aun no existiendo laguna legal que deba llenarse acudiendo a la Ley de Enjuiciamiento Civil (L.E.C.), ha de advertirse que en esta Ley no se infiere la necesidad de que la inadmisión de un incidente de recusación se haga por Auto; b) la recusación se ha formulado fuera de tiempo según lo dispuesto en el art. 193 de la L.E.C.; c) la petición de recusación adolecía del defecto formal básico de no identificar al recusado, ni alegar causa legal de recusación; el escrito no planteaba realmente una recusación, ni podía el Tribunal acceder a reconocer en este escrito virtualidad suficiente para admitir un incidente de recusación; y tampoco fundaba indicado escrito en causa de recusación en algunos de los supuestos legales estricta y exhaustivamente tipificados en la L. E. 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Es inadmisible, como contrario a todo el régimen de la recusación, y a la razón y la finalidad de esta institución procesal, que mediante un escrito presentado después del señalamiento para Sentencia, y aun después de votada y redactada ésta, y pendiente de notificación, en el que, además, no hay una concreción de causa alguna de recusación, subsumible en alguno de los supuestos definidos en la Ley, pueda ser abierto un incidente de recusación, pues si la recusación es un instrumento procesal ideado para evitar que un proceso sea fallado por Jueces en los que concurra algún supuesto que el precepto legal conceptúa como de posible quiebra de la imparcialidad, tendrá que apoyarse en la concurrencia de alguno de aquellos supuestos y plantearse en tiempo, según lo que disponen, en lo aplicable a la justicia constitucional, y por remisión del art. 80 de la LOTC, los arts. 189 y 193 de la L. E. C.  La extemporaneidad de la recusación y la alegación de unos hechos que no son de los previstos en la causa de recusación del artículo 189.3, hace rechazable a limine el escrito de recusación.  Para que la recusación pueda ser decidida y abra a tal efecto incidente, la petición de la parte, además de proponerse en tiempo, conforme al art.  193, y ajustarse a los requisitos formales previstos, entre otros, en el art.  192, debe concretar causa de recusación de las previstas legalmente.  Como ni la recusación se formuló en tiempo ni la solicitud se fundaba en hechos concretos que pudieran subsumirse en causa de recusación, la decisión adoptada en la providencia recurrida, esto es, la decisión de inadmisión por extemporaneidad y por falta de requisitos formales, debe mantenerse.  Estas fueron las razones que entonces implícitas y ahora más in extenso constituyen el fundamento, tanto de la providencia impugnada como del presente Auto.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Constitucional desestima el recurso de súplica interpuesto contra la providencia de 20 de diciembre próximo pasado.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