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1984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8 de febrero de 1984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La Sección ha examinado la pieza de pobreza del recurso de amparo promovido por don Leonardo Leyes Rosano.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En 3 de agosto de 1983 tuvo entrada en este Tribunal escrito remitido por don Leonardo Leyes Rosano, solicitando amparo frente a la Sentencia de la Magistratura de Trabajo núm. 3 de Barcelona que había desestimado la demanda por él formulada contra la empresa «Hostal de Sant Pancras» por razón de despido. Tras designársele, como pedía, Procurador de oficio y con Abogado de su designación, su representación procesal formuló las demandas de amparo y de pobreza.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Formada pieza separada para tramitar el incidente de pobreza se acordó oír al Ministerio Fiscal y al Abogado del Estado quienes nada opusieron a la solicitud de declaración de pobreza.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Unico.  De la relación circunstanciada y documentos presentados por el solicitante de amparo así como de la propia demanda incidental se infiere la concurrencia en este caso de los requisitos a que se refiere el art. 4.° de las Normas acerca de la defensa por pobre en los procesos constitucionales de 20 de diciembre de 1928 («Boletín Oficial del Estado» de 9 de febrero), hallándose comprendido el demandante en el supuesto previsto en el núm.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 del art. 15 de la Ley de Enjuiciamiento Civil.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Por lo expuesto, la Sección acuerda habilitar de pobreza para el presente recurso de amparo a don Leonardo Leyes Rosano.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ocho de febrero de mil novecientos ochenta y cuatro.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