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0. El día 11 de julio de 1984 tuvo entrada en este Tribunal Constitucional escrito de don Celestino Villa Echevarría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L.O.T.C. dice que el Tribunal Constitucional apreciará, de oficio o a instancia de parte, su falta de jurisdicción o de competencia. En el presente caso el recurrente presenta bajo el nombre de recurso de amparo lo que es en realidad un recurso de inconstitucionalidad contra determinadas disposiciones de una Ley y pide que se enjuicie la conformidad o disconformidad con la Constitución de aquellas disposiciones. Para que este Tribunal Constitucional pueda ejercer su competencia sobre este tipo de recurso es preci so que estos se planteen por los órganos o partes de órganos citados en los artículos 164.1.a de la Constitución y 32 de la L.O.T.C. sin que los particulares estén en ningún caso habilitados para inerponerlos.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declararse de oficio incompetente para conocer de la cuestión planteada.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