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0. El día 16 de julio de 1 984 tuvo entrada en este Tribunal Constitucional escrito de don Bruno González Crespo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L.O.T.C. dice que el Tribu nal Constitucional apreciará, de oficio o a instancia de parte, su falta de jurisdicción o de competencia. En el presente caso el recurrente presenta bajo el nombre de recurso de amparo lo que es en realidad un recurso de inconstitucionalidad contra determinadas disposiciones de una Ley y pide que se enjuicie la conformidad o disconformidad con la Constitución de aquellas disposiciones. Para que este Tribunal Constitucional pueda ejercer su competencia sobre este tipo de recurso es preciso que estos se planteen por los órganos o partes de órganos citados en los artículos 164.1.a de la Constitución, y 32 de la L.O.T.C. sin que los particulares estén en ningún caso habilitados para inetrponerlos.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declararle de oficio incompetente para conocer de la cuestión planteada.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