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29 de marzo del corriente, planteó conflicto constitucional positivo de competencia contra el art. 10.4 del Decreto 459/1983, de 18 de octubre, del Consejo Ejecutivo de la Generalidad de Cataluña, por el que se tipifican las infracciones y se regulan las sanciones en materia de comercialización de bienes, productos y prestación de servicios,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4 de abril último, se tuvo por planteado el conflicto y se dio traslado de la demanda al Consejo Ejecutivo de la Generalidad de Cataluña, teniéndose por producida la suspensión de la vigencia y aplicación del art. 10.4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Ejecutivo de la Generalidad de Cataluña se personó y presentó escrito solicitando prórroga para formalizar las alegaciones. Por providencia de 25 de abril último se le concedió la prórroga de diez días más para formular las alegaciones, que fueron presentadas por escrito de 7 de mayo último contestando a la demanda y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de Vacaciones, de 30 de agosto último, se acordó oír a las partes para que hicieran alegaciones en relación con el mantenimiento o levantamiento de la suspensión del art. 10.4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escrito de 12 de septiembre presentado en cumplimiento del trámite conferido, solicita que el Tribunal ratifique la suspensión en su día acordada. Señala el representante del Gobierno que la sanción de cierre temporal para una infracción muy grave, prevista en el art. 10.4 del Decreto objeto del conflicto, caso de imponerse por el órgano autonómico comportaría, en el supuesto de declararse en definitiva la titularidad estatal, un vicio de incompetencia con nulidad radical e insubsanable de la sanción; mientras que si se mantiene la suspensión, en el supuesto de una sanción de cierre temporal acordada por el Gobierno no incurriría en el vicio de nulidad, en la hipótesis de declararse la titularidad autonómica de la competencia en discusión, dada la vigencia del art. 19.4 del Real Decreto 1945/1983 y del núm. 3 del apartado B) del Anexo al Real Decreto 2687/1980. Además, caso de ratificarse la suspensión, no quedaría la Generalidad desprovista de competencia para el control de las infracciones, porque siempre contaría con la facultad de propuesta que previenen los Reales Decretos 2687/1980 y 1945/1983. </w:t>
      </w:r>
    </w:p>
    <w:p w:rsidRPr="00C21FFE" w:rsidR="00AD51A7" w:rsidRDefault="008777C4">
      <w:pPr>
        <w:rPr/>
      </w:pPr>
      <w:r w:rsidRPr="&lt;w:rPr xmlns:w=&quot;http://schemas.openxmlformats.org/wordprocessingml/2006/main&quot;&gt;&lt;w:lang w:val=&quot;es-ES_tradnl&quot; /&gt;&lt;/w:rPr&gt;">
        <w:rPr/>
        <w:t xml:space="preserve">El Consejo Ejecutivo de la Generalidad, en escrito de 14 de septiembre último, se opone al mantenimiento de la suspensión, porque ello supondría si no un bloqueo total de las facultades de la Generalidad, sí el de una de las medidas más contundentes para hacer valer, en situaciones extremas, su autoridad, además de resultar incomprensible que la facultad adicional de cierre no pueda ejercerla por supuesta infracción de una serie de principios constitucionales que, en realidad, la norma impugnada no vulnera.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producida la suspensión de la vigencia y aplicación de norma objeto del presente conflicto positivo de competencia, así como la de los actos producidos en su ejecución, de conformidad con lo dispuesto en los arts.  161.2 de la Constitución y 65.2 de la Ley Orgánica del Tribunal Constitucional, se hace preciso, dado el tiempo transcurrido desde la formalización del conflicto sin que éste se haya resuelto mediante Sentencia y en cumplimiento de tales disposiciones, resolver acerca del mantenimiento o levantamiento de aquella suspensión, tras haber formulado las partes en conflicto las alegaciones que consideran oportunas, dentro del plazo que a este efecto les fue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norma impugnada por el Gobierno, mediante el presente conflicto, habilita al Consejo Ejecutivo de la Generalidad para imponer la sanción de cierre de industrias, establecimientos o empresas para infracciones calificadas de muy graves en materia de comercialización de bienes, productos y prestación de servicios, y para un período máximo de cinco años. Distintos son los argumentos utilizados por las partes en defensa de la titularidad, estatal o autonómica, de la competencia controvertida, las cuales habrán de ser examinadas en la decisión de este Tribunal que ponga fin al conflicto.</w:t>
      </w:r>
    </w:p>
    <w:p w:rsidRPr="00C21FFE" w:rsidR="00AD51A7" w:rsidRDefault="008777C4">
      <w:pPr>
        <w:rPr/>
      </w:pPr>
      <w:r w:rsidRPr="&lt;w:rPr xmlns:w=&quot;http://schemas.openxmlformats.org/wordprocessingml/2006/main&quot;&gt;&lt;w:lang w:val=&quot;es-ES_tradnl&quot; /&gt;&lt;/w:rPr&gt;">
        <w:rPr/>
        <w:t xml:space="preserve">Tales argumentos son, por tanto, ahora ajenos a la cuestión que aquí se plantea y que, sin perjuicio de esa ulterior decisión, ha de quedar limitada a la ponderación de los intereses afectados por el mantenimiento o levantamiento de la suspensión de la norma impugnada.</w:t>
      </w:r>
    </w:p>
    <w:p w:rsidRPr="00C21FFE" w:rsidR="00AD51A7" w:rsidRDefault="008777C4">
      <w:pPr>
        <w:rPr/>
      </w:pPr>
      <w:r w:rsidRPr="&lt;w:rPr xmlns:w=&quot;http://schemas.openxmlformats.org/wordprocessingml/2006/main&quot;&gt;&lt;w:lang w:val=&quot;es-ES_tradnl&quot; /&gt;&lt;/w:rPr&gt;">
        <w:rPr/>
        <w:t xml:space="preserve">En tal sentido, ha de tenerse en cuenta que se trata de una norma de naturaleza evidentemente punitiva, relativa a una sanción de notable alcance y cuya aplicación a entidades comerciales pudiera producir a éstas perjuicios que, con posterioridad, serían irreparables, teniendo en cuenta, asimismo, su incidencia sobre una materia, como el tráfico comercial, en la que el círculo de eventuales afectados por la sanción pudiera adquirir considerable amplitud y sobre intereses, por tanto, de carácter general, que desbordan los de tales entidades sancionadas.</w:t>
      </w:r>
    </w:p>
    <w:p w:rsidRPr="00C21FFE" w:rsidR="00AD51A7" w:rsidRDefault="008777C4">
      <w:pPr>
        <w:rPr/>
      </w:pPr>
      <w:r w:rsidRPr="&lt;w:rPr xmlns:w=&quot;http://schemas.openxmlformats.org/wordprocessingml/2006/main&quot;&gt;&lt;w:lang w:val=&quot;es-ES_tradnl&quot; /&gt;&lt;/w:rPr&gt;">
        <w:rPr/>
        <w:t xml:space="preserve">El mantenimiento de la suspensión no bloquea, por otra parte, el resto de las competencias, no controvertidas, que en materia de infracciones de comercio interior y defensa del consumidor, siguen correspondiendo a la Generalidad, sin haber sido cuestionadas.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Tribunal acuerda ratificar la suspensión de la vigencia y aplicación del art.  10.4 del Decreto 459/1983, de 18 de octubre, del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 los Presidentes del Gobierno y del Consejo Ejecutivo de la Generalidad de Cataluña a través de sus representantes en el presente conflicto y publíquese en el «Boletín Oficial del Estado» y el «Diario Oficial de la Generalidad</w:t>
      </w:r>
    </w:p>
    <w:p w:rsidRPr="" w:rsidR="00AD51A7" w:rsidRDefault="008777C4">
      <w:pPr>
        <w:rPr/>
      </w:pPr>
      <w:r w:rsidRPr="&lt;w:rPr xmlns:w=&quot;http://schemas.openxmlformats.org/wordprocessingml/2006/main&quot;&gt;&lt;w:szCs w:val=&quot;24&quot; /&gt;&lt;/w:rPr&gt;">
        <w:rPr/>
        <w:t xml:space="preserve">de Cataluña».</w:t>
      </w:r>
    </w:p>
    <w:p w:rsidRPr="" w:rsidR="00AD51A7" w:rsidRDefault="008777C4">
      <w:pPr>
        <w:rPr/>
      </w:pPr>
      <w:r w:rsidRPr="&lt;w:rPr xmlns:w=&quot;http://schemas.openxmlformats.org/wordprocessingml/2006/main&quot;&gt;&lt;w:szCs w:val=&quot;24&quot; /&gt;&lt;/w:rPr&gt;">
        <w:rPr/>
        <w:t xml:space="preserve">Madrid, a once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