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10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con fecha 16 de octubre de 1984, don Jacinto Garijo Contreras y doña Consuelo Caballo de Miguel, ambos maestros jubilados y matrimonio, solicitaron se admita el recurso de amparo contra la anulación «hace muy poco tiempo y oficialmente» de las pensiones de orfandad y viudedad a las hijas solteras y viudas no pertenecientes a familias militares ni a las de los funcionarios del Ministerio de Justicia. Afirman dichos solicitantes que invocan un interés legítimo, ya que solicitan que se adjudique a su hija soltera Carolina Garijo su pensión «cuando faltemos sus padres, como a las demás mujeres solteras o viudas». Se invoca violación del art. 14 de la Constitución Española al haberse producido una patente discriminación.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14 de noviembre de 1984, la Sección acordó otorgar a los solicitantes de amparo un plazo de diez días para personarse ante este Tribunal representados por Procurador y asistidos de Abogado.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30 de noviembre de 1984 tuvo entrada en el Registro de este Tribunal escrito de don Jacinto Garijo Contreras, manifestando haber realizado las oportunas gestiones para encontrar un Abogado que le defendiera en el presente recurso de amparo, pero que no lo encontró.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5 de diciembre siguiente, acordó dar traslado de las actuaciones al Ministerio Fiscal y al Defensor del Pueblo, a fin de que emitieran el correspondiente dictamen sobre si era o no sostenible la acción que pretendía entablar el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Defensor del Pueblo, en escrito que tuvo entrada en el Registro de este Tribunal el 18 de diciembre de 1984, manifestó que no ha lugar a ejercer la legitimación que, en orden a la interposición de recursos de amparo le concede el art. 29 de la Ley Orgánica Reguladora de dicha Institución, por no haberse producido disposición, acto jurídico o simple vía de hecho de los Poderes Públicos vulnerador de los derechos y libertades susceptibles de amparo constitucional que pueda constituir el objeto del presente recurso. Además, no se ha agotado la vía judicial procedente exigida por el art. 43.1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que tuvo entrada en el Registro General de este Tribunal el 19 de diciembre de 1984, expone que no es sostenible la acción que pretenden entablar los solicitantes de amparo, porque los recurrentes tratan de precaverse respecto a futuras lesiones, eventuales, que aún no se han producido, y frente a las cuales el amparo constitucional resulta extemporáneo.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no habiendo comparecido el solicitante con la debida postulación y no habiendo considerado procedente sostener la acción ni el Ministerio Fiscal ni el Defensor del Pueblo se ha producido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producida la extinción del proceso abierto por el escrito de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