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Julián Terán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Terán Alonso se dirigió a este Tribunal el 13 de marzo de 1985 afirmando presentar recurso de amparo contra la resolución del Tribunal Supremo de 21 de febrero de 1985, por infracción de los derechos que le vienen reconocidos en los arts. 15, 24, 10 y 120.3 de la C.E. El recurrente entiende que existe una «agresión del Estado contra mi persona que comenzó en 1967», agresión «que todavía continúa». Acompaña a su demanda fotocopias de diversos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24 de abril, notificada al Ministerio Fiscal y al recurrente, a éste en Lista de Correos atendiendo a su petición, hizo constar que el recurso de amparo tiene que interponerse por Procurador, y al no haberlo hecho así don Julián Terán, su recurso ««pudiera ser inadmitido conforme al art. 50.1 b) en relación con el 81.1 de la LOTC», si bien, siendo el defecto subsanable, el recurrente podría comparecer en el plazo de diez días cumpliendo ese requisito. </w:t>
      </w:r>
    </w:p>
    <w:p w:rsidRPr="00C21FFE" w:rsidR="00AD51A7" w:rsidRDefault="008777C4">
      <w:pPr>
        <w:rPr/>
      </w:pPr>
      <w:r w:rsidRPr="&lt;w:rPr xmlns:w=&quot;http://schemas.openxmlformats.org/wordprocessingml/2006/main&quot;&gt;&lt;w:lang w:val=&quot;es-ES_tradnl&quot; /&gt;&lt;/w:rPr&gt;">
        <w:rPr/>
        <w:t xml:space="preserve">El recurrente ha presentado un breve escrito en el que confusamente alude a que la Sala Segunda del Tribunal Supremo le ha denegado el nombramiento de un nuevo Abogado de oficio; alude también el recurrente a su situación perentoria sin domicilio por motivos de seguridad que le inducen a fijar para notificaciones la Lista de Correos y finalmente añade que «lo que se me pide por ese Tribunal, siéndome de todo punto tanto como imposible de aportarlo, dado el caso de que lo que se me pide es lo mismo que yo reclamo».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requisito del art.  81.1 de la LOTC, al no haberse subsanado su incumplimiento, se convierte en necesaria causa de inadmisión del recurso de amparo [arts. 50.1 b) y 81.1 de la LOTC]. El recurrente pudo comparecer por Procurador elegido por él, o solicitar a este Tribunal el nombramiento de oficio de quien hubiera de representarlo procesalmente y dirigir técnicamente su demanda. Cualesquiera obstáculo que el recurrente hubiera podido encontrar sobre tales materias en otros procesos ni le eximen del cumplimiento en éste de los citados requisitos de postulación y defensa, ni en principio habrían sido impedimento para obtener aquí la representación y defensa de oficio, si así la hubiera solicitado con causa justificada.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