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438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julio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la pieza incidental de justicia gratuita del recurso de amparo promovido por don José Manuel Collantes San Miguel.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Don José Manuel Collantes San Miguel formuló solicitud de amparo contra Sentencia del Juzgado de Instrucción núm. 4 de Santander de fecha 13 de septiembre de 1984 que le condenó como autor de un delito de robo, a la pena de cinco meses de arresto mayor, accesorias, así como a indemnizar a los perjudicados.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la solicitud de amparo designaba Abogado y pedía el nombramiento de Procurador de turno de oficio, que le fue efectivamente nombrado; acordándose por providencia de 10 de abril pasado la formalización de las demandas de amparo y gratuidad. Formalizada esta última, por providencia de 22 de mayo se acordó formar la correspondiente pieza separada y oír al Abogado del Estado y al Ministerio Fiscal, quienes mostraron su conformidad a la concesión del beneficio solicitado.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De las actuaciones aparece que el demandante de amparo, sin profesión, se halla en prisión en el Centro de Cumplimiento para Jóvenes de Teruel y carece de bienes y de ingresos, estando comprendido en el supuesto que regula el art.  14 de la Ley de Enjuiciamiento Civil.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acuerda otorgar a don José Manuel Collantes San Miguel el beneficio de gratuidad para litigar en el presente recurso de amparo.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tres de julio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