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de Vacaciones</w:t>
      </w:r>
      <w:r w:rsidRPr="008B7AB5" w:rsidR="008B7AB5">
        <w:rPr>
          <w:b/>
        </w:rPr>
        <w:t xml:space="preserve">. Auto </w:t>
      </w:r>
      <w:r>
        <w:rPr xmlns:w="http://schemas.openxmlformats.org/wordprocessingml/2006/main">
          <w:b/>
          <w:szCs w:val="24"/>
        </w:rPr>
        <w:t>575</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7 de agosto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de Vacaciones ha estudiado la pieza de suspensión dimanante del recurso de amparo núm. 340/1985, interpuesto por don Luis Manuel Bautista Tanco.</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19 de abril, el indicado Luis Manuel Bautista Tanco interpuso recurso de amparo contra la Sentencia de la Audiencia Provincial de Barcelona de fecha 10 de abril de 1984, recaída en la causa por delito de robo con homicidio, que le condenó a la pena de veinticuatro años de reclusión. Por otrosí solicita la suspensión de los efectos condenatorios de la Sentencia recurrida y concesión de la libertad provisional.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5 de junio se dispuso la formación de pieza separada para tramitar el incidente de suspensión y oír al Ministerio Fiscal y al solicitante de amparo. El Ministerio Fiscal se opuso a la suspensión y el solicitante insistió en su petición respecto a la suspensión de la Sentencia y concesión de libertad provisional en tanto se resuelve este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El solicitante, privado de libertad por razón de la causa seguida contra él por el delito de robo con homicidio, y pendiente de la ejecutoria, interesa de este Tribunal la libertad provisional.  No es a este Tribunal al que corresponde proveer sobre la situación de los sometidos a una causa penal, y, por otra parte, si lo que se insta es la suspensión de la ejecución de la Sentencia, no comportaría otra consecuencia que la de permanecer en situación de prisión provisional y no pasar a la de condenado, pero no la obtención de la libertad.  Con esto la petición de libertad que el recurrente postula es improcedente.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de Vacaciones ha acordado denegar la petición de suspensión hecha por el recurrente.</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siete de agosto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