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746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Dolores Parés Redondo.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Dolores Parés Redondo, asistida del Letrado del Luis María Parés Redondo, presentó el 11 de junio de 1985 un escrito solicitando el nombramiento de Procurador del turno de oficio a fin de interponer recurso de amparo frente a Sentencia de la Magistratura de Trabajo núm. 3 de Barcelona, recaída en autos 249/1984 sobre reclamación de prestaciones por desempleo, y frente al Auto de 27 de abril de 1985 del Tribunal Central de Trabajo que declaró improcedente el recurso de suplicación interpuesto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septiembre se acordó otorgar a la solicitante de amparo un plazo de diez días para que acreditase haber gozado del beneficio de justicia gratuita en la vía judicial o que ha venido a peor fortuna.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16 de octubre en curso ha tenido entrada en este Tribunal escrito de la solicitante de amparo desistiendo del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No estando admitido el recurso de amparo promovido y, hallándose sin integrar la postulación de la recurrente, ésta dirige a este Tribunal un escrito desistiendo del recurso. En las actuaciones no aparece la existencia de intereses concurrentes a que el desistimiento pudiera afectar y tampoco aparece afectado el interés público en la prosecución o conclusión del proceso, que sólo podría repercutir en el patrimonio personal de la solicitante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a doña María Dolores Parés Redondo por apartada y desistida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