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del Consejo Ejecutivo de la Generalidad de Cataluña, presentado en este Tribunal el 27 de agosto del presente año, se interpuso recurso de inconstitucionalidad, registrado con el núm. </w:t>
      </w:r>
    </w:p>
    <w:p w:rsidRPr="00C21FFE" w:rsidR="00AD51A7" w:rsidRDefault="008777C4">
      <w:pPr>
        <w:rPr/>
      </w:pPr>
      <w:r w:rsidRPr="&lt;w:rPr xmlns:w=&quot;http://schemas.openxmlformats.org/wordprocessingml/2006/main&quot;&gt;&lt;w:lang w:val=&quot;es-ES_tradnl&quot; /&gt;&lt;/w:rPr&gt;">
        <w:rPr/>
        <w:t xml:space="preserve">800/1985, contra determinados artículos de la Ley 13/1985, de 25 de mayo, de coeficientes de inversión, recursos propios y obligaciones de información de los intermediarios financieros. </w:t>
      </w:r>
    </w:p>
    <w:p w:rsidRPr="00C21FFE" w:rsidR="00AD51A7" w:rsidRDefault="008777C4">
      <w:pPr>
        <w:rPr/>
      </w:pPr>
      <w:r w:rsidRPr="&lt;w:rPr xmlns:w=&quot;http://schemas.openxmlformats.org/wordprocessingml/2006/main&quot;&gt;&lt;w:lang w:val=&quot;es-ES_tradnl&quot; /&gt;&lt;/w:rPr&gt;">
        <w:rPr/>
        <w:t xml:space="preserve">El Gobierno Vasco interpuso, asimismo, recurso de inconstitucionalidad contra varios artículos de la citada Ley 13/1985, mediante escrito presentado el día 28 de agosto último, recurso que fue registrado con el núm. 801/1985.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Ambos recursos aparecen admitidos a trámite, el primero por providencia de la Sección Segunda de 25 de septiembre de 1985 y el 801/1985 por providencia de la misma fecha de la Sección Primera del Tribunal. </w:t>
      </w:r>
    </w:p>
    <w:p w:rsidRPr="00C21FFE" w:rsidR="00AD51A7" w:rsidRDefault="008777C4">
      <w:pPr>
        <w:rPr/>
      </w:pPr>
      <w:r w:rsidRPr="&lt;w:rPr xmlns:w=&quot;http://schemas.openxmlformats.org/wordprocessingml/2006/main&quot;&gt;&lt;w:lang w:val=&quot;es-ES_tradnl&quot; /&gt;&lt;/w:rPr&gt;">
        <w:rPr/>
        <w:t xml:space="preserve">En ellos se acordó dar los traslados establecidos en el art. 34 de la Ley Orgánica del Tribunal Constitucional (LOTC) al Congreso, al Senado y al Gobierno de la Nación para que pudieran personarse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Letrado del Estado, con escrito de 14 de octubre último, solicitó la acumulación de los dos recursos, atendida la conexión de objeto que justifica aquélla, de conformidad a lo dispuesto en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23 de octubre último, se acordó oír al Gobierno Vasco y al Consejo Ejecutivo de la Generalidad de Cataluña para que alegaran lo que estimasen conveniente en relación con la solicitud de acumulación, quedando en suspenso el plazo concedido para formular alegaciones en ambos recursos en tanto se sustancia el incidente. </w:t>
      </w:r>
    </w:p>
    <w:p w:rsidRPr="00C21FFE" w:rsidR="00AD51A7" w:rsidRDefault="008777C4">
      <w:pPr>
        <w:rPr/>
      </w:pPr>
      <w:r w:rsidRPr="&lt;w:rPr xmlns:w=&quot;http://schemas.openxmlformats.org/wordprocessingml/2006/main&quot;&gt;&lt;w:lang w:val=&quot;es-ES_tradnl&quot; /&gt;&lt;/w:rPr&gt;">
        <w:rPr/>
        <w:t xml:space="preserve">El Gobierno Vasco, en escrito recibido el 2 de noviembre último, manifiesta que apreciada la conexión existente entre las materias sobre las que versan ambos recursos no existen por su parte consideraciones contrarias a la unidad de tramitación y decisión.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no ha presentado alegación al respecto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dos recursos de inconstitucionalidad están interpuestos en relación con los preceptos de la misma Ley 13/1985, de 25 de mayo, por lo que se da entre ellos el presupuesto de conexión objetiva que según el art. 83 de la LOTC justifica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recurso de inconstitucionalidad número 801/1985, interpuesto por el Gobierno Vasco, al registrado con el núm.</w:t>
      </w:r>
    </w:p>
    <w:p w:rsidRPr="" w:rsidR="00AD51A7" w:rsidRDefault="008777C4">
      <w:pPr>
        <w:rPr/>
      </w:pPr>
      <w:r w:rsidRPr="&lt;w:rPr xmlns:w=&quot;http://schemas.openxmlformats.org/wordprocessingml/2006/main&quot;&gt;&lt;w:szCs w:val=&quot;24&quot; /&gt;&lt;/w:rPr&gt;">
        <w:rPr/>
        <w:t xml:space="preserve">800/1985, promovido por el Consejo Ejecutivo de la Generalidad de Cataluña.</w:t>
      </w:r>
    </w:p>
    <w:p w:rsidRPr="" w:rsidR="00AD51A7" w:rsidRDefault="008777C4">
      <w:pPr>
        <w:rPr/>
      </w:pPr>
      <w:r w:rsidRPr="&lt;w:rPr xmlns:w=&quot;http://schemas.openxmlformats.org/wordprocessingml/2006/main&quot;&gt;&lt;w:szCs w:val=&quot;24&quot; /&gt;&lt;/w:rPr&gt;">
        <w:rPr/>
        <w:t xml:space="preserve">Se concede un nuevo plazo de quince días al Letrado del Estado para que pueda presentar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